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734DA4" w14:textId="77777777" w:rsidR="00AF028B" w:rsidRPr="00AF028B" w:rsidRDefault="00AF028B" w:rsidP="00F62C29">
      <w:pPr>
        <w:spacing w:line="120" w:lineRule="auto"/>
        <w:rPr>
          <w:rFonts w:ascii="Apercu" w:hAnsi="Apercu"/>
        </w:rPr>
      </w:pPr>
      <w:bookmarkStart w:id="0" w:name="_GoBack"/>
      <w:bookmarkEnd w:id="0"/>
    </w:p>
    <w:p w14:paraId="48764200" w14:textId="77777777" w:rsidR="00AF028B" w:rsidRPr="00AF028B" w:rsidRDefault="00380149" w:rsidP="00AF028B">
      <w:pPr>
        <w:spacing w:line="120" w:lineRule="auto"/>
        <w:jc w:val="center"/>
        <w:rPr>
          <w:rFonts w:ascii="Apercu" w:hAnsi="Apercu"/>
        </w:rPr>
      </w:pPr>
      <w:r w:rsidRPr="00AF028B">
        <w:rPr>
          <w:rFonts w:ascii="Apercu" w:hAnsi="Apercu"/>
        </w:rPr>
        <w:t>Thinking about Exhibitions: Interpretation, Restoration, and Curation</w:t>
      </w:r>
    </w:p>
    <w:p w14:paraId="7BCEE764" w14:textId="77777777" w:rsidR="00AF028B" w:rsidRPr="00AF028B" w:rsidRDefault="00AF028B" w:rsidP="00AF028B">
      <w:pPr>
        <w:spacing w:line="120" w:lineRule="auto"/>
        <w:jc w:val="center"/>
        <w:rPr>
          <w:rFonts w:ascii="Apercu" w:hAnsi="Apercu"/>
        </w:rPr>
      </w:pPr>
      <w:r w:rsidRPr="00AF028B">
        <w:rPr>
          <w:rFonts w:ascii="Apercu" w:hAnsi="Apercu"/>
        </w:rPr>
        <w:t>Every Thursday</w:t>
      </w:r>
    </w:p>
    <w:p w14:paraId="4B8FEF06" w14:textId="77777777" w:rsidR="00AF028B" w:rsidRPr="00AF028B" w:rsidRDefault="00AF028B" w:rsidP="00AF028B">
      <w:pPr>
        <w:spacing w:line="120" w:lineRule="auto"/>
        <w:jc w:val="center"/>
        <w:rPr>
          <w:rFonts w:ascii="Apercu" w:hAnsi="Apercu"/>
        </w:rPr>
      </w:pPr>
      <w:r w:rsidRPr="00AF028B">
        <w:rPr>
          <w:rFonts w:ascii="Apercu" w:hAnsi="Apercu"/>
        </w:rPr>
        <w:t>8</w:t>
      </w:r>
      <w:r w:rsidRPr="00AF028B">
        <w:rPr>
          <w:rFonts w:ascii="Apercu" w:hAnsi="Apercu"/>
          <w:vertAlign w:val="superscript"/>
        </w:rPr>
        <w:t>th</w:t>
      </w:r>
      <w:r w:rsidRPr="00AF028B">
        <w:rPr>
          <w:rFonts w:ascii="Apercu" w:hAnsi="Apercu"/>
        </w:rPr>
        <w:t xml:space="preserve"> March to 12</w:t>
      </w:r>
      <w:r w:rsidRPr="00AF028B">
        <w:rPr>
          <w:rFonts w:ascii="Apercu" w:hAnsi="Apercu"/>
          <w:vertAlign w:val="superscript"/>
        </w:rPr>
        <w:t>th</w:t>
      </w:r>
      <w:r w:rsidRPr="00AF028B">
        <w:rPr>
          <w:rFonts w:ascii="Apercu" w:hAnsi="Apercu"/>
        </w:rPr>
        <w:t xml:space="preserve"> April (except 29</w:t>
      </w:r>
      <w:r w:rsidRPr="00AF028B">
        <w:rPr>
          <w:rFonts w:ascii="Apercu" w:hAnsi="Apercu"/>
          <w:vertAlign w:val="superscript"/>
        </w:rPr>
        <w:t>th</w:t>
      </w:r>
      <w:r w:rsidRPr="00AF028B">
        <w:rPr>
          <w:rFonts w:ascii="Apercu" w:hAnsi="Apercu"/>
        </w:rPr>
        <w:t xml:space="preserve"> March)</w:t>
      </w:r>
    </w:p>
    <w:p w14:paraId="6BD19138" w14:textId="77777777" w:rsidR="00AF028B" w:rsidRPr="00AF028B" w:rsidRDefault="00AF028B" w:rsidP="00AF028B">
      <w:pPr>
        <w:spacing w:line="120" w:lineRule="auto"/>
        <w:jc w:val="center"/>
        <w:rPr>
          <w:rFonts w:ascii="Apercu" w:hAnsi="Apercu"/>
        </w:rPr>
      </w:pPr>
      <w:r w:rsidRPr="00AF028B">
        <w:rPr>
          <w:rFonts w:ascii="Apercu" w:hAnsi="Apercu"/>
        </w:rPr>
        <w:t>18.30-20.30</w:t>
      </w:r>
    </w:p>
    <w:p w14:paraId="61BCFB97" w14:textId="77777777" w:rsidR="00380149" w:rsidRPr="00AF028B" w:rsidRDefault="00AF028B" w:rsidP="00380149">
      <w:pPr>
        <w:rPr>
          <w:rFonts w:ascii="Apercu" w:hAnsi="Apercu"/>
        </w:rPr>
      </w:pPr>
      <w:r w:rsidRPr="00AF028B">
        <w:rPr>
          <w:rFonts w:ascii="Apercu" w:hAnsi="Apercu"/>
        </w:rPr>
        <w:t xml:space="preserve">The PMC’s first spring offering of the Public Lecture Course will </w:t>
      </w:r>
      <w:r w:rsidR="00380149" w:rsidRPr="00AF028B">
        <w:rPr>
          <w:rFonts w:ascii="Apercu" w:hAnsi="Apercu"/>
        </w:rPr>
        <w:t xml:space="preserve">offer a behind-the-scenes look at the </w:t>
      </w:r>
      <w:r w:rsidRPr="00AF028B">
        <w:rPr>
          <w:rFonts w:ascii="Apercu" w:hAnsi="Apercu"/>
        </w:rPr>
        <w:t>research,</w:t>
      </w:r>
      <w:r w:rsidR="00380149" w:rsidRPr="00AF028B">
        <w:rPr>
          <w:rFonts w:ascii="Apercu" w:hAnsi="Apercu"/>
        </w:rPr>
        <w:t xml:space="preserve"> writing, borrowing, design and i</w:t>
      </w:r>
      <w:r w:rsidRPr="00AF028B">
        <w:rPr>
          <w:rFonts w:ascii="Apercu" w:hAnsi="Apercu"/>
        </w:rPr>
        <w:t xml:space="preserve">nstallation processes </w:t>
      </w:r>
      <w:r w:rsidR="00380149" w:rsidRPr="00AF028B">
        <w:rPr>
          <w:rFonts w:ascii="Apercu" w:hAnsi="Apercu"/>
        </w:rPr>
        <w:t>underp</w:t>
      </w:r>
      <w:r w:rsidRPr="00AF028B">
        <w:rPr>
          <w:rFonts w:ascii="Apercu" w:hAnsi="Apercu"/>
        </w:rPr>
        <w:t xml:space="preserve">in exhibitions. Led by the Centre’s Director of Studies, Mark Hallett, the course will use exhibitions that he has been involved in curating as relevant case studies, </w:t>
      </w:r>
      <w:r w:rsidR="00380149" w:rsidRPr="00AF028B">
        <w:rPr>
          <w:rFonts w:ascii="Apercu" w:hAnsi="Apercu"/>
        </w:rPr>
        <w:t xml:space="preserve">including </w:t>
      </w:r>
      <w:r w:rsidR="00380149" w:rsidRPr="00AF028B">
        <w:rPr>
          <w:rFonts w:ascii="Apercu" w:hAnsi="Apercu"/>
          <w:i/>
        </w:rPr>
        <w:t>Hogarth,</w:t>
      </w:r>
      <w:r w:rsidR="00380149" w:rsidRPr="00AF028B">
        <w:rPr>
          <w:rFonts w:ascii="Apercu" w:hAnsi="Apercu"/>
        </w:rPr>
        <w:t xml:space="preserve"> which took place at Tate Britain in 2007, and two displays that will open next year: </w:t>
      </w:r>
      <w:r w:rsidR="00380149" w:rsidRPr="00AF028B">
        <w:rPr>
          <w:rFonts w:ascii="Apercu" w:hAnsi="Apercu"/>
          <w:i/>
        </w:rPr>
        <w:t>The Great Spectacle: 250 Years of the Summer Exhibition</w:t>
      </w:r>
      <w:r w:rsidR="00380149" w:rsidRPr="00AF028B">
        <w:rPr>
          <w:rFonts w:ascii="Apercu" w:hAnsi="Apercu"/>
        </w:rPr>
        <w:t xml:space="preserve">, at the Royal Academy, and </w:t>
      </w:r>
      <w:r w:rsidR="00380149" w:rsidRPr="00AF028B">
        <w:rPr>
          <w:rFonts w:ascii="Apercu" w:hAnsi="Apercu"/>
          <w:i/>
        </w:rPr>
        <w:t>George Shaw: A Corner of a Foreign Field</w:t>
      </w:r>
      <w:r w:rsidR="00380149" w:rsidRPr="00AF028B">
        <w:rPr>
          <w:rFonts w:ascii="Apercu" w:hAnsi="Apercu"/>
        </w:rPr>
        <w:t>, which will open at the Yale Center for British Art in the autumn, before travelling to the Holburne Museum in B</w:t>
      </w:r>
      <w:r w:rsidRPr="00AF028B">
        <w:rPr>
          <w:rFonts w:ascii="Apercu" w:hAnsi="Apercu"/>
        </w:rPr>
        <w:t xml:space="preserve">ath in the spring of 2019. </w:t>
      </w:r>
      <w:r w:rsidR="00380149" w:rsidRPr="00AF028B">
        <w:rPr>
          <w:rFonts w:ascii="Apercu" w:hAnsi="Apercu"/>
        </w:rPr>
        <w:t xml:space="preserve"> </w:t>
      </w:r>
    </w:p>
    <w:p w14:paraId="2A0CBF93" w14:textId="77777777" w:rsidR="00AF028B" w:rsidRPr="00AF028B" w:rsidRDefault="00AF028B" w:rsidP="00AF028B">
      <w:pPr>
        <w:rPr>
          <w:rFonts w:ascii="Apercu" w:hAnsi="Apercu"/>
        </w:rPr>
      </w:pPr>
      <w:r w:rsidRPr="00AF028B">
        <w:rPr>
          <w:rFonts w:ascii="Apercu" w:hAnsi="Apercu"/>
        </w:rPr>
        <w:t>This term’s course will take a slightly different format from previous years. The first four sessions will follow the traditional Public Lecture Course model, with a lecture followed by a question and answer period. The final session will be a group discussion that will bring together all of the themes discussed in the preceding lectures. Each lecture will be recorded and made available to the public through the Centre’s website.</w:t>
      </w:r>
    </w:p>
    <w:p w14:paraId="461E3D93" w14:textId="77777777" w:rsidR="00AC7505" w:rsidRPr="00AF028B" w:rsidRDefault="00AF028B" w:rsidP="00380149">
      <w:pPr>
        <w:rPr>
          <w:rFonts w:ascii="Apercu" w:hAnsi="Apercu"/>
        </w:rPr>
      </w:pPr>
      <w:r w:rsidRPr="00AF028B">
        <w:rPr>
          <w:rFonts w:ascii="Apercu" w:hAnsi="Apercu"/>
        </w:rPr>
        <w:t xml:space="preserve">No prior art historical knowledge is necessary. </w:t>
      </w:r>
    </w:p>
    <w:p w14:paraId="112CFBB5" w14:textId="77777777" w:rsidR="00AF028B" w:rsidRPr="00AF028B" w:rsidRDefault="00AF028B" w:rsidP="00AF028B">
      <w:pPr>
        <w:spacing w:line="120" w:lineRule="auto"/>
        <w:rPr>
          <w:rFonts w:ascii="Apercu" w:hAnsi="Apercu"/>
        </w:rPr>
      </w:pPr>
    </w:p>
    <w:p w14:paraId="05C1174A" w14:textId="77777777" w:rsidR="00554F51" w:rsidRPr="00554F51" w:rsidRDefault="00554F51" w:rsidP="00AF028B">
      <w:pPr>
        <w:spacing w:line="240" w:lineRule="exact"/>
        <w:rPr>
          <w:rFonts w:ascii="Apercu" w:hAnsi="Apercu"/>
        </w:rPr>
      </w:pPr>
      <w:r w:rsidRPr="00554F51">
        <w:rPr>
          <w:rFonts w:ascii="Apercu" w:hAnsi="Apercu"/>
        </w:rPr>
        <w:t>8</w:t>
      </w:r>
      <w:r w:rsidRPr="00554F51">
        <w:rPr>
          <w:rFonts w:ascii="Apercu" w:hAnsi="Apercu"/>
          <w:vertAlign w:val="superscript"/>
        </w:rPr>
        <w:t xml:space="preserve"> </w:t>
      </w:r>
      <w:r w:rsidRPr="00554F51">
        <w:rPr>
          <w:rFonts w:ascii="Apercu" w:hAnsi="Apercu"/>
        </w:rPr>
        <w:t>March 2018</w:t>
      </w:r>
    </w:p>
    <w:p w14:paraId="5BA71EC3" w14:textId="77777777" w:rsidR="00554F51" w:rsidRPr="00554F51" w:rsidRDefault="00554F51" w:rsidP="00AF028B">
      <w:pPr>
        <w:spacing w:line="240" w:lineRule="exact"/>
        <w:rPr>
          <w:rFonts w:ascii="Apercu" w:hAnsi="Apercu"/>
          <w:b/>
        </w:rPr>
      </w:pPr>
      <w:r w:rsidRPr="00554F51">
        <w:rPr>
          <w:rFonts w:ascii="Apercu" w:hAnsi="Apercu"/>
          <w:b/>
        </w:rPr>
        <w:t xml:space="preserve">Looking Back: Three Eighteenth Century Exhibitions </w:t>
      </w:r>
    </w:p>
    <w:p w14:paraId="3554177A" w14:textId="77777777" w:rsidR="00AF028B" w:rsidRPr="00AF028B" w:rsidRDefault="00AF028B" w:rsidP="00AF028B">
      <w:pPr>
        <w:spacing w:line="240" w:lineRule="exact"/>
        <w:rPr>
          <w:rFonts w:ascii="Apercu" w:hAnsi="Apercu"/>
        </w:rPr>
      </w:pPr>
      <w:r w:rsidRPr="00AF028B">
        <w:rPr>
          <w:rFonts w:ascii="Apercu" w:hAnsi="Apercu"/>
        </w:rPr>
        <w:t>Mark Hallett</w:t>
      </w:r>
    </w:p>
    <w:p w14:paraId="58FD54C1" w14:textId="77777777" w:rsidR="00F62C29" w:rsidRPr="00F62C29" w:rsidRDefault="00F62C29" w:rsidP="00F62C29">
      <w:pPr>
        <w:spacing w:line="240" w:lineRule="exact"/>
        <w:rPr>
          <w:rFonts w:ascii="Apercu" w:hAnsi="Apercu"/>
        </w:rPr>
      </w:pPr>
      <w:r w:rsidRPr="00F62C29">
        <w:rPr>
          <w:rFonts w:ascii="Apercu" w:hAnsi="Apercu"/>
        </w:rPr>
        <w:t>Reading:</w:t>
      </w:r>
    </w:p>
    <w:p w14:paraId="09A96395" w14:textId="77777777" w:rsidR="00F62C29" w:rsidRPr="00F62C29" w:rsidRDefault="00F62C29" w:rsidP="00F62C29">
      <w:pPr>
        <w:spacing w:line="240" w:lineRule="exact"/>
        <w:rPr>
          <w:rFonts w:ascii="Apercu" w:hAnsi="Apercu"/>
        </w:rPr>
      </w:pPr>
      <w:r w:rsidRPr="00F62C29">
        <w:rPr>
          <w:rFonts w:ascii="Apercu" w:hAnsi="Apercu"/>
        </w:rPr>
        <w:t xml:space="preserve">David H. Solkin, ‘This Great Mart of Genius’: The Royal Academy Exhibitions at Somerset House, 1780-1836’, in David Solkin (ed.), </w:t>
      </w:r>
      <w:r w:rsidRPr="00F62C29">
        <w:rPr>
          <w:rFonts w:ascii="Apercu" w:hAnsi="Apercu"/>
          <w:i/>
          <w:iCs/>
        </w:rPr>
        <w:t>Art on the Line: The Royal Academy Exhibitions at Somerset House 1780-1836</w:t>
      </w:r>
      <w:r w:rsidRPr="00F62C29">
        <w:rPr>
          <w:rFonts w:ascii="Apercu" w:hAnsi="Apercu"/>
        </w:rPr>
        <w:t>, Yale University Press, 2001, pp. 1-8</w:t>
      </w:r>
    </w:p>
    <w:p w14:paraId="425DFB15" w14:textId="77777777" w:rsidR="00F62C29" w:rsidRPr="00F62C29" w:rsidRDefault="00F62C29" w:rsidP="00F62C29">
      <w:pPr>
        <w:spacing w:line="240" w:lineRule="exact"/>
        <w:rPr>
          <w:rFonts w:ascii="Apercu" w:hAnsi="Apercu"/>
        </w:rPr>
      </w:pPr>
      <w:r w:rsidRPr="00F62C29">
        <w:rPr>
          <w:rFonts w:ascii="Apercu" w:hAnsi="Apercu"/>
        </w:rPr>
        <w:t xml:space="preserve">John Sunderland and David H. Solkin, ‘Staging the Spectacle’, in David Solkin (ed.), </w:t>
      </w:r>
      <w:r w:rsidRPr="00F62C29">
        <w:rPr>
          <w:rFonts w:ascii="Apercu" w:hAnsi="Apercu"/>
          <w:i/>
          <w:iCs/>
        </w:rPr>
        <w:t>Art on the Line: The Royal Academy Exhibitions at Somerset House 1780-1836</w:t>
      </w:r>
      <w:r w:rsidRPr="00F62C29">
        <w:rPr>
          <w:rFonts w:ascii="Apercu" w:hAnsi="Apercu"/>
        </w:rPr>
        <w:t>, Yale University Press, 2001, pp. 23-38</w:t>
      </w:r>
    </w:p>
    <w:p w14:paraId="2A76380F" w14:textId="77777777" w:rsidR="00F62C29" w:rsidRPr="00F62C29" w:rsidRDefault="00F62C29" w:rsidP="00F62C29">
      <w:pPr>
        <w:spacing w:line="240" w:lineRule="exact"/>
        <w:rPr>
          <w:rFonts w:ascii="Apercu" w:hAnsi="Apercu"/>
        </w:rPr>
      </w:pPr>
      <w:r w:rsidRPr="00F62C29">
        <w:rPr>
          <w:rFonts w:ascii="Apercu" w:hAnsi="Apercu"/>
        </w:rPr>
        <w:t xml:space="preserve">Emily Ballew Neff, ‘The History Theatre: Production and Spectatorship in Copley’s </w:t>
      </w:r>
      <w:r w:rsidRPr="00F62C29">
        <w:rPr>
          <w:rFonts w:ascii="Apercu" w:hAnsi="Apercu"/>
          <w:i/>
        </w:rPr>
        <w:t>The Death of Major Peirson</w:t>
      </w:r>
      <w:r w:rsidRPr="00F62C29">
        <w:rPr>
          <w:rFonts w:ascii="Apercu" w:hAnsi="Apercu"/>
        </w:rPr>
        <w:t xml:space="preserve">’, in Emily Ballew Neff, </w:t>
      </w:r>
      <w:r w:rsidRPr="00F62C29">
        <w:rPr>
          <w:rFonts w:ascii="Apercu" w:hAnsi="Apercu"/>
          <w:i/>
        </w:rPr>
        <w:t>John Singleton Copley in England</w:t>
      </w:r>
      <w:r w:rsidRPr="00F62C29">
        <w:rPr>
          <w:rFonts w:ascii="Apercu" w:hAnsi="Apercu"/>
        </w:rPr>
        <w:t>, Merrell Holberton, 1995, pp. 60-90; see also pp. 140-154</w:t>
      </w:r>
    </w:p>
    <w:p w14:paraId="761567BA" w14:textId="77777777" w:rsidR="00AF028B" w:rsidRPr="00AF028B" w:rsidRDefault="00AF028B" w:rsidP="00AF028B">
      <w:pPr>
        <w:spacing w:line="240" w:lineRule="exact"/>
        <w:rPr>
          <w:rFonts w:ascii="Apercu" w:hAnsi="Apercu"/>
        </w:rPr>
      </w:pPr>
    </w:p>
    <w:p w14:paraId="2E39448E" w14:textId="77777777" w:rsidR="00554F51" w:rsidRPr="00554F51" w:rsidRDefault="00554F51" w:rsidP="00AF028B">
      <w:pPr>
        <w:spacing w:line="240" w:lineRule="exact"/>
        <w:rPr>
          <w:rFonts w:ascii="Apercu" w:hAnsi="Apercu"/>
        </w:rPr>
      </w:pPr>
      <w:r w:rsidRPr="00554F51">
        <w:rPr>
          <w:rFonts w:ascii="Apercu" w:hAnsi="Apercu"/>
        </w:rPr>
        <w:t>15</w:t>
      </w:r>
      <w:r w:rsidRPr="00554F51">
        <w:rPr>
          <w:rFonts w:ascii="Apercu" w:hAnsi="Apercu"/>
          <w:vertAlign w:val="superscript"/>
        </w:rPr>
        <w:t xml:space="preserve"> </w:t>
      </w:r>
      <w:r w:rsidRPr="00554F51">
        <w:rPr>
          <w:rFonts w:ascii="Apercu" w:hAnsi="Apercu"/>
        </w:rPr>
        <w:t>March 2018</w:t>
      </w:r>
    </w:p>
    <w:p w14:paraId="6607CA55" w14:textId="77777777" w:rsidR="00AF028B" w:rsidRPr="00554F51" w:rsidRDefault="00554F51" w:rsidP="00AF028B">
      <w:pPr>
        <w:spacing w:line="240" w:lineRule="exact"/>
        <w:rPr>
          <w:rFonts w:ascii="Apercu" w:hAnsi="Apercu"/>
          <w:b/>
        </w:rPr>
      </w:pPr>
      <w:r w:rsidRPr="00554F51">
        <w:rPr>
          <w:rFonts w:ascii="Apercu" w:hAnsi="Apercu"/>
          <w:b/>
        </w:rPr>
        <w:t xml:space="preserve">Looking Back: </w:t>
      </w:r>
      <w:r w:rsidRPr="00554F51">
        <w:rPr>
          <w:rFonts w:ascii="Apercu" w:hAnsi="Apercu"/>
          <w:b/>
          <w:i/>
        </w:rPr>
        <w:t>Hogarth</w:t>
      </w:r>
      <w:r w:rsidRPr="00554F51">
        <w:rPr>
          <w:rFonts w:ascii="Apercu" w:hAnsi="Apercu"/>
          <w:b/>
        </w:rPr>
        <w:t>, 2006-7, Mus</w:t>
      </w:r>
      <w:r>
        <w:rPr>
          <w:rFonts w:ascii="Apercu" w:hAnsi="Apercu"/>
          <w:b/>
        </w:rPr>
        <w:t>é</w:t>
      </w:r>
      <w:r w:rsidRPr="00554F51">
        <w:rPr>
          <w:rFonts w:ascii="Apercu" w:hAnsi="Apercu"/>
          <w:b/>
        </w:rPr>
        <w:t xml:space="preserve">e du Louvre, Paris; Tate Britain, London; Caixa Forum, Barcelona  </w:t>
      </w:r>
    </w:p>
    <w:p w14:paraId="53EA1B69" w14:textId="77777777" w:rsidR="00AF028B" w:rsidRDefault="00AF028B" w:rsidP="00AF028B">
      <w:pPr>
        <w:spacing w:line="240" w:lineRule="exact"/>
        <w:rPr>
          <w:rFonts w:ascii="Apercu" w:hAnsi="Apercu"/>
        </w:rPr>
      </w:pPr>
      <w:r w:rsidRPr="00AF028B">
        <w:rPr>
          <w:rFonts w:ascii="Apercu" w:hAnsi="Apercu"/>
        </w:rPr>
        <w:t>Mark Hallett and Christine Riding</w:t>
      </w:r>
    </w:p>
    <w:p w14:paraId="5212B053" w14:textId="77777777" w:rsidR="00F62C29" w:rsidRPr="00F62C29" w:rsidRDefault="00F62C29" w:rsidP="00F62C29">
      <w:pPr>
        <w:spacing w:line="240" w:lineRule="exact"/>
        <w:rPr>
          <w:rFonts w:ascii="Apercu" w:hAnsi="Apercu"/>
        </w:rPr>
      </w:pPr>
      <w:r w:rsidRPr="00F62C29">
        <w:rPr>
          <w:rFonts w:ascii="Apercu" w:hAnsi="Apercu"/>
        </w:rPr>
        <w:t xml:space="preserve">Reading: </w:t>
      </w:r>
    </w:p>
    <w:p w14:paraId="320349CD" w14:textId="77777777" w:rsidR="00F62C29" w:rsidRPr="00F62C29" w:rsidRDefault="00F62C29" w:rsidP="00F62C29">
      <w:pPr>
        <w:spacing w:line="240" w:lineRule="exact"/>
        <w:rPr>
          <w:rFonts w:ascii="Apercu" w:hAnsi="Apercu"/>
        </w:rPr>
      </w:pPr>
      <w:r w:rsidRPr="00F62C29">
        <w:rPr>
          <w:rFonts w:ascii="Apercu" w:hAnsi="Apercu"/>
        </w:rPr>
        <w:t>Mark Hallett and Christine Riding</w:t>
      </w:r>
      <w:r w:rsidRPr="00F62C29">
        <w:rPr>
          <w:rFonts w:ascii="Apercu" w:hAnsi="Apercu"/>
          <w:i/>
        </w:rPr>
        <w:t>, Hogarth</w:t>
      </w:r>
      <w:r w:rsidRPr="00F62C29">
        <w:rPr>
          <w:rFonts w:ascii="Apercu" w:hAnsi="Apercu"/>
        </w:rPr>
        <w:t>, Tate Publishing, 2006, esp. pp. 13-54</w:t>
      </w:r>
    </w:p>
    <w:p w14:paraId="43331BA8" w14:textId="77777777" w:rsidR="00F62C29" w:rsidRPr="00F62C29" w:rsidRDefault="00F62C29" w:rsidP="00F62C29">
      <w:pPr>
        <w:spacing w:line="240" w:lineRule="exact"/>
        <w:rPr>
          <w:rFonts w:ascii="Apercu" w:hAnsi="Apercu"/>
        </w:rPr>
      </w:pPr>
      <w:r w:rsidRPr="00F62C29">
        <w:rPr>
          <w:rFonts w:ascii="Apercu" w:hAnsi="Apercu"/>
        </w:rPr>
        <w:t xml:space="preserve">Lawrence Gowing, </w:t>
      </w:r>
      <w:r w:rsidRPr="00F62C29">
        <w:rPr>
          <w:rFonts w:ascii="Apercu" w:hAnsi="Apercu"/>
          <w:i/>
        </w:rPr>
        <w:t>Hogarth</w:t>
      </w:r>
      <w:r w:rsidRPr="00F62C29">
        <w:rPr>
          <w:rFonts w:ascii="Apercu" w:hAnsi="Apercu"/>
        </w:rPr>
        <w:t>, Tate Gallery, 1971, especially pp. 28-38</w:t>
      </w:r>
    </w:p>
    <w:p w14:paraId="1AB8E23C" w14:textId="77777777" w:rsidR="00F62C29" w:rsidRPr="00F62C29" w:rsidRDefault="00F62C29" w:rsidP="00F62C29">
      <w:pPr>
        <w:spacing w:line="240" w:lineRule="exact"/>
        <w:rPr>
          <w:rFonts w:ascii="Apercu" w:hAnsi="Apercu"/>
        </w:rPr>
      </w:pPr>
      <w:r w:rsidRPr="00F62C29">
        <w:rPr>
          <w:rFonts w:ascii="Apercu" w:hAnsi="Apercu"/>
        </w:rPr>
        <w:lastRenderedPageBreak/>
        <w:t xml:space="preserve">Mark Hallett, </w:t>
      </w:r>
      <w:r w:rsidRPr="00F62C29">
        <w:rPr>
          <w:rFonts w:ascii="Apercu" w:hAnsi="Apercu"/>
          <w:i/>
        </w:rPr>
        <w:t>Hogarth</w:t>
      </w:r>
      <w:r w:rsidRPr="00F62C29">
        <w:rPr>
          <w:rFonts w:ascii="Apercu" w:hAnsi="Apercu"/>
        </w:rPr>
        <w:t>, Phaidon, 2000, esp. pp. 73-132</w:t>
      </w:r>
    </w:p>
    <w:p w14:paraId="572A60A3" w14:textId="77777777" w:rsidR="00AF028B" w:rsidRPr="00AF028B" w:rsidRDefault="00AF028B" w:rsidP="00AF028B">
      <w:pPr>
        <w:spacing w:line="240" w:lineRule="exact"/>
        <w:rPr>
          <w:rFonts w:ascii="Apercu" w:hAnsi="Apercu"/>
        </w:rPr>
      </w:pPr>
    </w:p>
    <w:p w14:paraId="0FCA30B9" w14:textId="77777777" w:rsidR="00AF028B" w:rsidRPr="00554F51" w:rsidRDefault="00554F51" w:rsidP="00AF028B">
      <w:pPr>
        <w:spacing w:line="240" w:lineRule="exact"/>
        <w:rPr>
          <w:rFonts w:ascii="Apercu" w:hAnsi="Apercu"/>
        </w:rPr>
      </w:pPr>
      <w:r w:rsidRPr="00554F51">
        <w:rPr>
          <w:rFonts w:ascii="Apercu" w:hAnsi="Apercu"/>
        </w:rPr>
        <w:t xml:space="preserve">22 March 2018 </w:t>
      </w:r>
    </w:p>
    <w:p w14:paraId="5ABBE513" w14:textId="77777777" w:rsidR="00554F51" w:rsidRPr="00554F51" w:rsidRDefault="00554F51" w:rsidP="00AF028B">
      <w:pPr>
        <w:spacing w:line="240" w:lineRule="exact"/>
        <w:rPr>
          <w:rFonts w:ascii="Apercu" w:hAnsi="Apercu"/>
          <w:b/>
        </w:rPr>
      </w:pPr>
      <w:r w:rsidRPr="00554F51">
        <w:rPr>
          <w:rFonts w:ascii="Apercu" w:hAnsi="Apercu"/>
          <w:b/>
        </w:rPr>
        <w:t xml:space="preserve">Looking Forward: </w:t>
      </w:r>
      <w:r w:rsidRPr="00554F51">
        <w:rPr>
          <w:rFonts w:ascii="Apercu" w:hAnsi="Apercu"/>
          <w:b/>
          <w:i/>
        </w:rPr>
        <w:t>The Great Spectacle: 250 Years of the Summer Exhibition</w:t>
      </w:r>
      <w:r w:rsidRPr="00554F51">
        <w:rPr>
          <w:rFonts w:ascii="Apercu" w:hAnsi="Apercu"/>
          <w:b/>
        </w:rPr>
        <w:t>, 2018, Royal Academy, London</w:t>
      </w:r>
    </w:p>
    <w:p w14:paraId="754FE8C2" w14:textId="77777777" w:rsidR="00AF028B" w:rsidRPr="00AF028B" w:rsidRDefault="00AF028B" w:rsidP="00AF028B">
      <w:pPr>
        <w:spacing w:line="240" w:lineRule="exact"/>
        <w:rPr>
          <w:rFonts w:ascii="Apercu" w:hAnsi="Apercu"/>
        </w:rPr>
      </w:pPr>
      <w:r w:rsidRPr="00AF028B">
        <w:rPr>
          <w:rFonts w:ascii="Apercu" w:hAnsi="Apercu"/>
        </w:rPr>
        <w:t>Mark Hallett and Sarah Victoria Turner</w:t>
      </w:r>
    </w:p>
    <w:p w14:paraId="15A15909" w14:textId="1ADFF483" w:rsidR="00AF028B" w:rsidRPr="00F62C29" w:rsidRDefault="00F62C29" w:rsidP="00AF028B">
      <w:pPr>
        <w:spacing w:line="240" w:lineRule="exact"/>
        <w:rPr>
          <w:rFonts w:ascii="Apercu" w:hAnsi="Apercu"/>
        </w:rPr>
      </w:pPr>
      <w:r w:rsidRPr="00F62C29">
        <w:rPr>
          <w:rFonts w:ascii="Apercu" w:hAnsi="Apercu"/>
        </w:rPr>
        <w:t xml:space="preserve">Reading: </w:t>
      </w:r>
    </w:p>
    <w:p w14:paraId="7E04D803" w14:textId="1CB3FE2A" w:rsidR="00F62C29" w:rsidRPr="00F62C29" w:rsidRDefault="00F62C29" w:rsidP="00AF028B">
      <w:pPr>
        <w:spacing w:line="240" w:lineRule="exact"/>
        <w:rPr>
          <w:rFonts w:ascii="Apercu" w:hAnsi="Apercu"/>
        </w:rPr>
      </w:pPr>
      <w:r w:rsidRPr="00F62C29">
        <w:rPr>
          <w:rFonts w:ascii="Apercu" w:hAnsi="Apercu"/>
        </w:rPr>
        <w:t xml:space="preserve">TBC </w:t>
      </w:r>
    </w:p>
    <w:p w14:paraId="402A4A0E" w14:textId="77777777" w:rsidR="00F62C29" w:rsidRDefault="00F62C29" w:rsidP="00AF028B">
      <w:pPr>
        <w:spacing w:line="240" w:lineRule="exact"/>
        <w:rPr>
          <w:rFonts w:ascii="Apercu" w:hAnsi="Apercu"/>
        </w:rPr>
      </w:pPr>
    </w:p>
    <w:p w14:paraId="69E159CD" w14:textId="77777777" w:rsidR="00AF028B" w:rsidRPr="00554F51" w:rsidRDefault="00554F51" w:rsidP="00AF028B">
      <w:pPr>
        <w:spacing w:line="240" w:lineRule="exact"/>
        <w:rPr>
          <w:rFonts w:ascii="Apercu" w:hAnsi="Apercu"/>
        </w:rPr>
      </w:pPr>
      <w:r w:rsidRPr="00554F51">
        <w:rPr>
          <w:rFonts w:ascii="Apercu" w:hAnsi="Apercu"/>
        </w:rPr>
        <w:t>5 April 2018</w:t>
      </w:r>
    </w:p>
    <w:p w14:paraId="053EFBC5" w14:textId="77777777" w:rsidR="00AF028B" w:rsidRPr="00554F51" w:rsidRDefault="00554F51" w:rsidP="00AF028B">
      <w:pPr>
        <w:spacing w:line="240" w:lineRule="exact"/>
        <w:rPr>
          <w:rFonts w:ascii="Apercu" w:hAnsi="Apercu"/>
          <w:b/>
        </w:rPr>
      </w:pPr>
      <w:r w:rsidRPr="00554F51">
        <w:rPr>
          <w:rFonts w:ascii="Apercu" w:hAnsi="Apercu"/>
          <w:b/>
        </w:rPr>
        <w:t xml:space="preserve">Looking Forward: </w:t>
      </w:r>
      <w:r w:rsidRPr="00554F51">
        <w:rPr>
          <w:rFonts w:ascii="Apercu" w:hAnsi="Apercu"/>
          <w:b/>
          <w:i/>
        </w:rPr>
        <w:t>George Shaw: A Corner of a Foreign Field, 2018-19</w:t>
      </w:r>
      <w:r w:rsidRPr="00554F51">
        <w:rPr>
          <w:rFonts w:ascii="Apercu" w:hAnsi="Apercu"/>
          <w:b/>
        </w:rPr>
        <w:t>, Yale Centre for British Art, New Haven, CT; Holburne Museum Bath</w:t>
      </w:r>
    </w:p>
    <w:p w14:paraId="5C4D766D" w14:textId="77777777" w:rsidR="00AF028B" w:rsidRPr="00AF028B" w:rsidRDefault="00AF028B" w:rsidP="00AF028B">
      <w:pPr>
        <w:spacing w:line="240" w:lineRule="exact"/>
        <w:rPr>
          <w:rFonts w:ascii="Apercu" w:hAnsi="Apercu"/>
        </w:rPr>
      </w:pPr>
      <w:r w:rsidRPr="00AF028B">
        <w:rPr>
          <w:rFonts w:ascii="Apercu" w:hAnsi="Apercu"/>
        </w:rPr>
        <w:t>Mark Hallett and George Shaw</w:t>
      </w:r>
    </w:p>
    <w:p w14:paraId="4D590A0A" w14:textId="77777777" w:rsidR="00F62C29" w:rsidRPr="00F62C29" w:rsidRDefault="00F62C29" w:rsidP="00F62C29">
      <w:pPr>
        <w:spacing w:line="240" w:lineRule="exact"/>
        <w:rPr>
          <w:rFonts w:ascii="Apercu" w:hAnsi="Apercu"/>
        </w:rPr>
      </w:pPr>
      <w:r w:rsidRPr="00F62C29">
        <w:rPr>
          <w:rFonts w:ascii="Apercu" w:hAnsi="Apercu"/>
        </w:rPr>
        <w:t>Reading:</w:t>
      </w:r>
    </w:p>
    <w:p w14:paraId="6BE2F660" w14:textId="77777777" w:rsidR="00F62C29" w:rsidRPr="00F62C29" w:rsidRDefault="00F62C29" w:rsidP="00F62C29">
      <w:pPr>
        <w:spacing w:line="240" w:lineRule="exact"/>
        <w:rPr>
          <w:rFonts w:ascii="Apercu" w:hAnsi="Apercu"/>
        </w:rPr>
      </w:pPr>
      <w:r w:rsidRPr="00F62C29">
        <w:rPr>
          <w:rFonts w:ascii="Apercu" w:hAnsi="Apercu"/>
        </w:rPr>
        <w:t xml:space="preserve">Michael Bracewell, ‘Decades – the Art of George Shaw’, in Laurence Sillars (ed.) </w:t>
      </w:r>
      <w:r w:rsidRPr="00F62C29">
        <w:rPr>
          <w:rFonts w:ascii="Apercu" w:hAnsi="Apercu"/>
          <w:i/>
        </w:rPr>
        <w:t>George Shaw: The Sly and Unseen Day</w:t>
      </w:r>
      <w:r w:rsidRPr="00F62C29">
        <w:rPr>
          <w:rFonts w:ascii="Apercu" w:hAnsi="Apercu"/>
        </w:rPr>
        <w:t xml:space="preserve">, Baltic Centre for Contemporary Art, 2011, pp. 8-14; </w:t>
      </w:r>
    </w:p>
    <w:p w14:paraId="7D12AB6B" w14:textId="77777777" w:rsidR="00F62C29" w:rsidRPr="00F62C29" w:rsidRDefault="00F62C29" w:rsidP="00F62C29">
      <w:pPr>
        <w:spacing w:line="240" w:lineRule="exact"/>
        <w:rPr>
          <w:rFonts w:ascii="Apercu" w:hAnsi="Apercu"/>
        </w:rPr>
      </w:pPr>
      <w:r w:rsidRPr="00F62C29">
        <w:rPr>
          <w:rFonts w:ascii="Apercu" w:hAnsi="Apercu"/>
        </w:rPr>
        <w:t xml:space="preserve">Colin Wiggins, ‘ ‘Naked Women and pictures of Jesus’’, in George Shaw, </w:t>
      </w:r>
      <w:r w:rsidRPr="00F62C29">
        <w:rPr>
          <w:rFonts w:ascii="Apercu" w:hAnsi="Apercu"/>
          <w:i/>
        </w:rPr>
        <w:t xml:space="preserve">George Shaw, My Back to Nature, </w:t>
      </w:r>
      <w:r w:rsidRPr="00F62C29">
        <w:rPr>
          <w:rFonts w:ascii="Apercu" w:hAnsi="Apercu"/>
        </w:rPr>
        <w:t>National Gallery Publications, 2016, pp. 9-12</w:t>
      </w:r>
    </w:p>
    <w:p w14:paraId="50473376" w14:textId="77777777" w:rsidR="00F62C29" w:rsidRPr="00F62C29" w:rsidRDefault="00F62C29" w:rsidP="00F62C29">
      <w:pPr>
        <w:spacing w:line="240" w:lineRule="exact"/>
        <w:rPr>
          <w:rFonts w:ascii="Apercu" w:hAnsi="Apercu"/>
        </w:rPr>
      </w:pPr>
      <w:r w:rsidRPr="00F62C29">
        <w:rPr>
          <w:rFonts w:ascii="Apercu" w:hAnsi="Apercu"/>
        </w:rPr>
        <w:t>Ben Luke, ‘The Visitor: The Paintings of George Shaw’, in Maurani Mercier Gallery, George Shaw: The Lost of England, Maruani Mercier Gallery, 2017, n.p.</w:t>
      </w:r>
    </w:p>
    <w:p w14:paraId="22C526D7" w14:textId="77777777" w:rsidR="00AF028B" w:rsidRPr="00AF028B" w:rsidRDefault="00AF028B" w:rsidP="00AF028B">
      <w:pPr>
        <w:spacing w:line="240" w:lineRule="exact"/>
        <w:rPr>
          <w:rFonts w:ascii="Apercu" w:hAnsi="Apercu"/>
          <w:b/>
        </w:rPr>
      </w:pPr>
    </w:p>
    <w:p w14:paraId="006FC786" w14:textId="77777777" w:rsidR="00AF028B" w:rsidRPr="00554F51" w:rsidRDefault="00554F51" w:rsidP="00AF028B">
      <w:pPr>
        <w:spacing w:line="240" w:lineRule="exact"/>
        <w:rPr>
          <w:rFonts w:ascii="Apercu" w:hAnsi="Apercu"/>
        </w:rPr>
      </w:pPr>
      <w:r w:rsidRPr="00554F51">
        <w:rPr>
          <w:rFonts w:ascii="Apercu" w:hAnsi="Apercu"/>
        </w:rPr>
        <w:t>12 April 2018</w:t>
      </w:r>
    </w:p>
    <w:p w14:paraId="5B4602BF" w14:textId="77777777" w:rsidR="00554F51" w:rsidRPr="00AF028B" w:rsidRDefault="00554F51" w:rsidP="00AF028B">
      <w:pPr>
        <w:spacing w:line="240" w:lineRule="exact"/>
        <w:rPr>
          <w:rFonts w:ascii="Apercu" w:hAnsi="Apercu"/>
          <w:b/>
        </w:rPr>
      </w:pPr>
      <w:r>
        <w:rPr>
          <w:rFonts w:ascii="Apercu" w:hAnsi="Apercu"/>
          <w:b/>
        </w:rPr>
        <w:t xml:space="preserve">Looking Back: Curating and Scholarship </w:t>
      </w:r>
    </w:p>
    <w:p w14:paraId="27E43387" w14:textId="77777777" w:rsidR="00AF028B" w:rsidRDefault="00AF028B" w:rsidP="00AF028B">
      <w:pPr>
        <w:spacing w:line="240" w:lineRule="exact"/>
        <w:rPr>
          <w:rFonts w:ascii="Apercu" w:hAnsi="Apercu"/>
        </w:rPr>
      </w:pPr>
      <w:r w:rsidRPr="00AF028B">
        <w:rPr>
          <w:rFonts w:ascii="Apercu" w:hAnsi="Apercu"/>
        </w:rPr>
        <w:t>Mark Hallett</w:t>
      </w:r>
    </w:p>
    <w:p w14:paraId="24E26E20" w14:textId="77777777" w:rsidR="00F62C29" w:rsidRPr="00F62C29" w:rsidRDefault="00F62C29" w:rsidP="00F62C29">
      <w:pPr>
        <w:spacing w:line="240" w:lineRule="exact"/>
        <w:rPr>
          <w:rFonts w:ascii="Apercu" w:hAnsi="Apercu"/>
        </w:rPr>
      </w:pPr>
      <w:r w:rsidRPr="00F62C29">
        <w:rPr>
          <w:rFonts w:ascii="Apercu" w:hAnsi="Apercu"/>
        </w:rPr>
        <w:t>No preparatory reading required: discussion of issues raised during the course.</w:t>
      </w:r>
    </w:p>
    <w:p w14:paraId="25ECBC7D" w14:textId="77777777" w:rsidR="00F62C29" w:rsidRPr="00AF028B" w:rsidRDefault="00F62C29" w:rsidP="00AF028B">
      <w:pPr>
        <w:spacing w:line="240" w:lineRule="exact"/>
        <w:rPr>
          <w:rFonts w:ascii="Apercu" w:hAnsi="Apercu"/>
        </w:rPr>
      </w:pPr>
    </w:p>
    <w:sectPr w:rsidR="00F62C29" w:rsidRPr="00AF028B" w:rsidSect="00F62C29"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B10497" w14:textId="77777777" w:rsidR="00F62C29" w:rsidRDefault="00F62C29" w:rsidP="00F62C29">
      <w:pPr>
        <w:spacing w:after="0" w:line="240" w:lineRule="auto"/>
      </w:pPr>
      <w:r>
        <w:separator/>
      </w:r>
    </w:p>
  </w:endnote>
  <w:endnote w:type="continuationSeparator" w:id="0">
    <w:p w14:paraId="6F13F36A" w14:textId="77777777" w:rsidR="00F62C29" w:rsidRDefault="00F62C29" w:rsidP="00F62C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percu">
    <w:panose1 w:val="020005060400000200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217905" w14:textId="77777777" w:rsidR="00F62C29" w:rsidRDefault="00F62C29" w:rsidP="00100AE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F5111B8" w14:textId="77777777" w:rsidR="00F62C29" w:rsidRDefault="00F62C29" w:rsidP="00F62C29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2A5B9C" w14:textId="77777777" w:rsidR="00F62C29" w:rsidRPr="00F62C29" w:rsidRDefault="00F62C29" w:rsidP="00100AE8">
    <w:pPr>
      <w:pStyle w:val="Footer"/>
      <w:framePr w:wrap="around" w:vAnchor="text" w:hAnchor="margin" w:xAlign="right" w:y="1"/>
      <w:rPr>
        <w:rStyle w:val="PageNumber"/>
        <w:rFonts w:ascii="Apercu" w:hAnsi="Apercu"/>
      </w:rPr>
    </w:pPr>
    <w:r w:rsidRPr="00F62C29">
      <w:rPr>
        <w:rStyle w:val="PageNumber"/>
        <w:rFonts w:ascii="Apercu" w:hAnsi="Apercu"/>
      </w:rPr>
      <w:fldChar w:fldCharType="begin"/>
    </w:r>
    <w:r w:rsidRPr="00F62C29">
      <w:rPr>
        <w:rStyle w:val="PageNumber"/>
        <w:rFonts w:ascii="Apercu" w:hAnsi="Apercu"/>
      </w:rPr>
      <w:instrText xml:space="preserve">PAGE  </w:instrText>
    </w:r>
    <w:r w:rsidRPr="00F62C29">
      <w:rPr>
        <w:rStyle w:val="PageNumber"/>
        <w:rFonts w:ascii="Apercu" w:hAnsi="Apercu"/>
      </w:rPr>
      <w:fldChar w:fldCharType="separate"/>
    </w:r>
    <w:r>
      <w:rPr>
        <w:rStyle w:val="PageNumber"/>
        <w:rFonts w:ascii="Apercu" w:hAnsi="Apercu"/>
        <w:noProof/>
      </w:rPr>
      <w:t>1</w:t>
    </w:r>
    <w:r w:rsidRPr="00F62C29">
      <w:rPr>
        <w:rStyle w:val="PageNumber"/>
        <w:rFonts w:ascii="Apercu" w:hAnsi="Apercu"/>
      </w:rPr>
      <w:fldChar w:fldCharType="end"/>
    </w:r>
  </w:p>
  <w:p w14:paraId="275111F3" w14:textId="77777777" w:rsidR="00F62C29" w:rsidRDefault="00F62C29" w:rsidP="00F62C2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957E24" w14:textId="77777777" w:rsidR="00F62C29" w:rsidRDefault="00F62C29" w:rsidP="00F62C29">
      <w:pPr>
        <w:spacing w:after="0" w:line="240" w:lineRule="auto"/>
      </w:pPr>
      <w:r>
        <w:separator/>
      </w:r>
    </w:p>
  </w:footnote>
  <w:footnote w:type="continuationSeparator" w:id="0">
    <w:p w14:paraId="35819427" w14:textId="77777777" w:rsidR="00F62C29" w:rsidRDefault="00F62C29" w:rsidP="00F62C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149"/>
    <w:rsid w:val="00380149"/>
    <w:rsid w:val="00383F33"/>
    <w:rsid w:val="00554F51"/>
    <w:rsid w:val="00AC7505"/>
    <w:rsid w:val="00AF028B"/>
    <w:rsid w:val="00F62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6EA0B3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149"/>
    <w:pPr>
      <w:spacing w:after="160" w:line="259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62C2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2C29"/>
    <w:rPr>
      <w:rFonts w:eastAsiaTheme="minorHAnsi"/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F62C29"/>
  </w:style>
  <w:style w:type="paragraph" w:styleId="Header">
    <w:name w:val="header"/>
    <w:basedOn w:val="Normal"/>
    <w:link w:val="HeaderChar"/>
    <w:uiPriority w:val="99"/>
    <w:unhideWhenUsed/>
    <w:rsid w:val="00F62C2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2C29"/>
    <w:rPr>
      <w:rFonts w:eastAsiaTheme="minorHAnsi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149"/>
    <w:pPr>
      <w:spacing w:after="160" w:line="259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62C2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2C29"/>
    <w:rPr>
      <w:rFonts w:eastAsiaTheme="minorHAnsi"/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F62C29"/>
  </w:style>
  <w:style w:type="paragraph" w:styleId="Header">
    <w:name w:val="header"/>
    <w:basedOn w:val="Normal"/>
    <w:link w:val="HeaderChar"/>
    <w:uiPriority w:val="99"/>
    <w:unhideWhenUsed/>
    <w:rsid w:val="00F62C2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2C29"/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72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5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942EFF5-24C1-194C-8699-3D8E3EE9B9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512</Words>
  <Characters>2921</Characters>
  <Application>Microsoft Macintosh Word</Application>
  <DocSecurity>0</DocSecurity>
  <Lines>24</Lines>
  <Paragraphs>6</Paragraphs>
  <ScaleCrop>false</ScaleCrop>
  <Company/>
  <LinksUpToDate>false</LinksUpToDate>
  <CharactersWithSpaces>3427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Nermin Abdulla</dc:creator>
  <cp:keywords/>
  <dc:description/>
  <cp:lastModifiedBy>Nermin Abdulla</cp:lastModifiedBy>
  <cp:revision>3</cp:revision>
  <dcterms:created xsi:type="dcterms:W3CDTF">2018-01-26T16:00:00Z</dcterms:created>
  <dcterms:modified xsi:type="dcterms:W3CDTF">2018-02-13T11:48:00Z</dcterms:modified>
</cp:coreProperties>
</file>